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10"/>
          <w:szCs w:val="10"/>
        </w:rPr>
      </w:pPr>
      <w:r/>
      <w:commentRangeStart w:id="0"/>
      <w:r>
        <w:rPr>
          <w:b/>
          <w:sz w:val="72"/>
          <w:szCs w:val="72"/>
          <w:rtl w:val="0"/>
        </w:rPr>
        <w:t xml:space="preserve"> FICHE ACTION VNE N°3</w:t>
      </w:r>
      <w:commentRangeEnd w:id="0"/>
      <w:r>
        <w:commentReference w:id="0"/>
      </w:r>
      <w:r>
        <w:rPr>
          <w:rtl w:val="0"/>
        </w:rPr>
      </w:r>
      <w:r>
        <w:rPr>
          <w:b/>
          <w:sz w:val="10"/>
          <w:szCs w:val="10"/>
        </w:rPr>
      </w:r>
    </w:p>
    <w:tbl>
      <w:tblPr>
        <w:tblStyle w:val="693"/>
        <w:tblW w:w="11220" w:type="dxa"/>
        <w:tblInd w:w="-11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3000"/>
        <w:gridCol w:w="2970"/>
        <w:gridCol w:w="2655"/>
        <w:gridCol w:w="2595"/>
        <w:tblGridChange w:id="0">
          <w:tblGrid>
            <w:gridCol w:w="3000"/>
            <w:gridCol w:w="2970"/>
            <w:gridCol w:w="2655"/>
            <w:gridCol w:w="2595"/>
          </w:tblGrid>
        </w:tblGridChange>
      </w:tblGrid>
      <w:tr>
        <w:trPr>
          <w:cantSplit w:val="false"/>
          <w:trHeight w:val="510"/>
        </w:trPr>
        <w:tc>
          <w:tcPr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ENJEUX</w:t>
            </w:r>
            <w:r>
              <w:rPr>
                <w:rtl w:val="0"/>
              </w:rPr>
            </w:r>
            <w:r/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0"/>
                <w:szCs w:val="20"/>
              </w:rPr>
            </w:pPr>
            <w:r/>
            <w:bookmarkStart w:id="0" w:name="_n33g5qsgodkw"/>
            <w:r/>
            <w:bookmarkEnd w:id="0"/>
            <w:r>
              <w:rPr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0000" cy="540000"/>
                      <wp:effectExtent l="0" t="0" r="0" b="0"/>
                      <wp:docPr id="1" name="image3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3.png"/>
                              <pic:cNvPicPr/>
                              <pic:nvPr/>
                            </pic:nvPicPr>
                            <pic:blipFill>
                              <a:blip r:embed="rId9"/>
                              <a:srcRect l="0" t="0" r="0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0000" cy="5400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42.52pt;height:42.52pt;mso-wrap-distance-left:0.00pt;mso-wrap-distance-top:0.00pt;mso-wrap-distance-right:0.00pt;mso-wrap-distance-bottom:0.00pt;z-index:1;">
                      <v:imagedata r:id="rId9" o:title="" croptop="0f" cropleft="0f" cropbottom="0f" cropright="0f"/>
                      <o:lock v:ext="edit" rotation="t"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0000" cy="221400"/>
                      <wp:effectExtent l="0" t="0" r="0" b="0"/>
                      <wp:docPr id="2" name="image2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.jpg"/>
                              <pic:cNvPicPr/>
                              <pic:nvPr/>
                            </pic:nvPicPr>
                            <pic:blipFill>
                              <a:blip r:embed="rId10"/>
                              <a:srcRect l="0" t="0" r="0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0000" cy="2214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" o:spid="_x0000_s1" type="#_x0000_t75" style="width:42.52pt;height:17.43pt;mso-wrap-distance-left:0.00pt;mso-wrap-distance-top:0.00pt;mso-wrap-distance-right:0.00pt;mso-wrap-distance-bottom:0.00pt;z-index:1;">
                      <v:imagedata r:id="rId10" o:title="" croptop="0f" cropleft="0f" cropbottom="0f" cropright="0f"/>
                      <o:lock v:ext="edit" rotation="t"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0000" cy="540000"/>
                      <wp:effectExtent l="0" t="0" r="0" b="0"/>
                      <wp:docPr id="3" name="image1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1.jpg"/>
                              <pic:cNvPicPr/>
                              <pic:nvPr/>
                            </pic:nvPicPr>
                            <pic:blipFill>
                              <a:blip r:embed="rId11"/>
                              <a:srcRect l="0" t="0" r="0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0000" cy="5400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" o:spid="_x0000_s2" type="#_x0000_t75" style="width:42.52pt;height:42.52pt;mso-wrap-distance-left:0.00pt;mso-wrap-distance-top:0.00pt;mso-wrap-distance-right:0.00pt;mso-wrap-distance-bottom:0.00pt;z-index:1;">
                      <v:imagedata r:id="rId11" o:title="" croptop="0f" cropleft="0f" cropbottom="0f" cropright="0f"/>
                      <o:lock v:ext="edit" rotation="t"/>
                    </v:shape>
                  </w:pict>
                </mc:Fallback>
              </mc:AlternateContent>
            </w:r>
            <w:r>
              <w:rPr>
                <w:rtl w:val="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AXES STRATÉGIQUES</w:t>
            </w:r>
            <w:r>
              <w:rPr>
                <w:b/>
              </w:rPr>
            </w:r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numPr>
                <w:ilvl w:val="0"/>
                <w:numId w:val="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hanging="360" w:left="720"/>
              <w:jc w:val="left"/>
              <w:rPr>
                <w:shd w:val="clear" w:color="auto" w:fill="f1c40f"/>
              </w:rPr>
            </w:pPr>
            <w:r>
              <w:rPr>
                <w:shd w:val="clear" w:color="auto" w:fill="f1c40f"/>
                <w:rtl w:val="0"/>
              </w:rPr>
              <w:t xml:space="preserve">AXE III</w:t>
            </w:r>
            <w:r>
              <w:rPr>
                <w:shd w:val="clear" w:color="auto" w:fill="f1c40f"/>
              </w:rPr>
            </w:r>
          </w:p>
          <w:p>
            <w:pPr>
              <w:keepNext w:val="false"/>
              <w:keepLines w:val="false"/>
              <w:pageBreakBefore w:val="false"/>
              <w:widowControl w:val="false"/>
              <w:numPr>
                <w:ilvl w:val="0"/>
                <w:numId w:val="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hanging="360" w:left="720"/>
              <w:jc w:val="left"/>
              <w:rPr>
                <w:shd w:val="clear" w:color="auto" w:fill="b497d6"/>
              </w:rPr>
            </w:pPr>
            <w:r>
              <w:rPr>
                <w:shd w:val="clear" w:color="auto" w:fill="b497d6"/>
                <w:rtl w:val="0"/>
              </w:rPr>
              <w:t xml:space="preserve">AXE IV</w:t>
            </w:r>
            <w:r>
              <w:rPr>
                <w:shd w:val="clear" w:color="auto" w:fill="b497d6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b6d7a8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ÉTAT D’AVANCEMENT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b6d7a8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tl w:val="0"/>
              </w:rPr>
              <w:t xml:space="preserve">Trouver porteur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b497d6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NOM DE LA FICHE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b497d6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Avec les Services d'Appuis Spécifiques, développer les synergies entre professionnels de santé et médiateurs numériques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PILOTE(S) / PORTEUR(S)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à déterminer</w:t>
            </w:r>
            <w:r>
              <w:rPr>
                <w:sz w:val="24"/>
                <w:szCs w:val="24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SUPPORTS/PARTENAIRES/ PRESTATAIRES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sz w:val="24"/>
                <w:szCs w:val="24"/>
              </w:rPr>
            </w:pPr>
            <w:r>
              <w:rPr>
                <w:rtl w:val="0"/>
              </w:rPr>
              <w:t xml:space="preserve">CD83 ; </w:t>
              <w:br/>
              <w:t xml:space="preserve">Structures mis en relation/partenariat ; </w:t>
              <w:br/>
            </w:r>
            <w:r>
              <w:rPr>
                <w:sz w:val="24"/>
                <w:szCs w:val="24"/>
                <w:rtl w:val="0"/>
              </w:rPr>
              <w:t xml:space="preserve">SAS : 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6"/>
              </w:numPr>
              <w:pBdr/>
              <w:spacing/>
              <w:ind w:hanging="360"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Corydis Var : Handicap cognitif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6"/>
              </w:numPr>
              <w:pBdr/>
              <w:spacing/>
              <w:ind w:hanging="360"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Urapeda : Surdité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6"/>
              </w:numPr>
              <w:pBdr/>
              <w:spacing/>
              <w:ind w:hanging="360"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Isatis : Handicap psychique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6"/>
              </w:numPr>
              <w:pBdr/>
              <w:spacing/>
              <w:ind w:hanging="360"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PEP06 : Handicap moteur/visuel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6"/>
              </w:numPr>
              <w:pBdr/>
              <w:spacing/>
              <w:ind w:hanging="360"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</w:r>
            <w:commentRangeStart w:id="1"/>
            <w:r>
              <w:rPr>
                <w:sz w:val="24"/>
                <w:szCs w:val="24"/>
                <w:rtl w:val="0"/>
              </w:rPr>
              <w:t xml:space="preserve">Ariane Méditerranée : Handicap mental</w:t>
            </w:r>
            <w:r>
              <w:rPr>
                <w:sz w:val="24"/>
                <w:szCs w:val="24"/>
              </w:rPr>
            </w:r>
            <w:commentRangeEnd w:id="1"/>
            <w:r>
              <w:commentReference w:id="1"/>
            </w:r>
            <w:r/>
            <w:r>
              <w:rPr>
                <w:sz w:val="24"/>
                <w:szCs w:val="24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CONTRIBUTEURS/ACTEURS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ICOM Provence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ACTION</w:t>
            </w:r>
            <w:r>
              <w:rPr>
                <w:rtl w:val="0"/>
              </w:rPr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NOUVELLE</w:t>
            </w:r>
            <w:r>
              <w:rPr>
                <w:rtl w:val="0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EN COURS D’ÉLABORATION</w:t>
            </w:r>
            <w:r>
              <w:rPr>
                <w:rtl w:val="0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pBdr/>
              <w:spacing/>
              <w:ind w:hanging="360"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DÉJÀ ENGAGÉE</w:t>
            </w: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cantSplit w:val="false"/>
          <w:trHeight w:val="1043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DIAGNOSTIC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CONSTATS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jc w:val="both"/>
              <w:rPr/>
            </w:pPr>
            <w:r>
              <w:rPr>
                <w:rtl w:val="0"/>
              </w:rPr>
              <w:t xml:space="preserve">Dans une logique de rationalisation des coûts pour les bénéficiaires, et d’efficience quant aux compétences de chacun des acteurs, il semble pertinent aujourd’hui de chercher à répartir le travail entre le</w:t>
            </w:r>
            <w:r>
              <w:rPr>
                <w:rtl w:val="0"/>
              </w:rPr>
              <w:t xml:space="preserve"> professionnel de santé, chargé d’établir le dispositif d’accompagnement (équipement nécessaire, logiciels, durée, etc. ; soit un rôle de prescripteur) et le médiateur numérique dont la mission sera de permettre à l’usager d’utiliser ces outils numériques.</w:t>
            </w:r>
            <w:r/>
          </w:p>
          <w:p>
            <w:pPr>
              <w:pBdr/>
              <w:spacing w:after="0" w:before="0" w:line="240" w:lineRule="auto"/>
              <w:ind/>
              <w:jc w:val="both"/>
              <w:rPr/>
            </w:pPr>
            <w:r/>
            <w:commentRangeStart w:id="2"/>
            <w:r>
              <w:rPr>
                <w:rtl w:val="0"/>
              </w:rPr>
              <w:t xml:space="preserve">Ainsi, chaque acteur sera sur le métier pour lequel il est expert tout en réduisant les coûts pour les financeurs des actions ce qui permettra, par extension, d’en mener plus.</w:t>
            </w:r>
            <w:commentRangeEnd w:id="2"/>
            <w:r>
              <w:commentReference w:id="2"/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jc w:val="both"/>
              <w:rPr/>
            </w:pPr>
            <w:r>
              <w:rPr>
                <w:rtl w:val="0"/>
              </w:rPr>
              <w:t xml:space="preserve">Cette action existe déjà dans les Bouches-du-Rhône</w:t>
            </w:r>
            <w:r/>
          </w:p>
        </w:tc>
      </w:tr>
      <w:tr>
        <w:trPr>
          <w:cantSplit w:val="false"/>
          <w:trHeight w:val="912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firstLine="0" w:left="0"/>
              <w:jc w:val="left"/>
              <w:rPr/>
            </w:pPr>
            <w:r>
              <w:rPr>
                <w:rtl w:val="0"/>
              </w:rPr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sz w:val="24"/>
                <w:szCs w:val="24"/>
                <w:rtl w:val="0"/>
              </w:rPr>
              <w:t xml:space="preserve">ENJEUX</w:t>
            </w:r>
            <w:r>
              <w:rPr>
                <w:rtl w:val="0"/>
              </w:rPr>
            </w:r>
            <w:r/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jc w:val="left"/>
              <w:rPr/>
            </w:pPr>
            <w:r>
              <w:rPr>
                <w:rtl w:val="0"/>
              </w:rPr>
              <w:t xml:space="preserve">Il y a un enjeu d’articulation entre les acteurs du médico-social qui portent des actions pour l’AGEFIPH dans le domaine du handicap, ce dès lors que de la médiation numérique est nécessaire.</w:t>
            </w:r>
            <w:r/>
          </w:p>
        </w:tc>
      </w:tr>
      <w:tr>
        <w:trPr>
          <w:cantSplit w:val="false"/>
          <w:trHeight w:val="1043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widowControl w:val="false"/>
              <w:pBdr/>
              <w:spacing w:line="276" w:lineRule="auto"/>
              <w:ind/>
              <w:rPr>
                <w:b/>
              </w:rPr>
            </w:pPr>
            <w:r>
              <w:rPr>
                <w:b/>
                <w:rtl w:val="0"/>
              </w:rPr>
              <w:t xml:space="preserve">RÉPONSE À DEMANDE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FNE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jc w:val="both"/>
              <w:rPr/>
            </w:pPr>
            <w:r>
              <w:rPr>
                <w:rtl w:val="0"/>
              </w:rPr>
              <w:t xml:space="preserve">Pas regardé</w:t>
            </w:r>
            <w:r/>
          </w:p>
        </w:tc>
      </w:tr>
      <w:tr>
        <w:trPr>
          <w:cantSplit w:val="false"/>
          <w:trHeight w:val="1043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widowControl w:val="false"/>
              <w:pBdr/>
              <w:spacing w:line="276" w:lineRule="auto"/>
              <w:ind/>
              <w:rPr>
                <w:b/>
              </w:rPr>
            </w:pPr>
            <w:r>
              <w:rPr>
                <w:rtl w:val="0"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SÉNAT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Pas regardé</w:t>
            </w:r>
            <w:r/>
          </w:p>
        </w:tc>
      </w:tr>
      <w:tr>
        <w:trPr>
          <w:cantSplit w:val="false"/>
          <w:trHeight w:val="1043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widowControl w:val="false"/>
              <w:pBdr/>
              <w:spacing w:line="276" w:lineRule="auto"/>
              <w:ind/>
              <w:rPr>
                <w:b/>
              </w:rPr>
            </w:pPr>
            <w:r>
              <w:rPr>
                <w:rtl w:val="0"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COMMISSION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Pas regardé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OBJECTIFS OPÉRATIONNELS</w:t>
            </w:r>
            <w:r>
              <w:rPr>
                <w:rtl w:val="0"/>
              </w:rPr>
            </w:r>
            <w:r/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pBdr/>
              <w:spacing/>
              <w:ind w:hanging="360" w:left="720"/>
              <w:rPr/>
            </w:pPr>
            <w:r>
              <w:rPr>
                <w:rtl w:val="0"/>
              </w:rPr>
              <w:t xml:space="preserve">Trouver une source de financement alternatif pour des médiateurs numériques</w:t>
            </w:r>
            <w:r/>
          </w:p>
          <w:p>
            <w:pPr>
              <w:numPr>
                <w:ilvl w:val="0"/>
                <w:numId w:val="1"/>
              </w:numPr>
              <w:pBdr/>
              <w:spacing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Réduire les coûts du handicap dans le monde professionnel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1"/>
              </w:numPr>
              <w:pBdr/>
              <w:spacing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Valoriser les métiers du médico-social et de la médiation numérique</w:t>
            </w:r>
            <w:r>
              <w:rPr>
                <w:u w:val="none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DESCRIPTIF DE L’ACTION</w:t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Cette action doit être validée avec les SAS et l’AGEFIPH.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Dans un premier temps, une rencontre avec les SAS permettra de valider si cette action leur semble pertinente dans le Var.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Si la proposition est validée par les SAS, ou seulement certains, le sujet sera porté à l’AGEFIPH pour la mise en place de cette articulation et les conditions.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L’articulation de professionnels du médico-social et de la médiation numérique </w:t>
            </w:r>
            <w:r>
              <w:rPr>
                <w:rtl w:val="0"/>
              </w:rPr>
              <w:t xml:space="preserve">a pour but à la fois de garantir la qualité du service prodigué par un professionnel dédié à ce service spécifique, de permettre la réduction des coûts (un médiateur numérique coûtant moins cher qu’un psychothérapeute) et une reconnaissance de ces métiers.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Cette articulation se fait au cas par cas, en fonction du SAS et de son partenaire.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ÉTAPES DE MISE EN PLACE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pBdr/>
              <w:spacing w:after="0" w:before="0" w:line="240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Rencontre avec les SAS pour validation du projet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8"/>
              </w:numPr>
              <w:pBdr/>
              <w:spacing w:after="0" w:before="0" w:line="240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Selon succès, rencontre avec l’AGEFIPH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8"/>
              </w:numPr>
              <w:pBdr/>
              <w:spacing w:after="0" w:before="0" w:line="240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AMI sur le Var pour trouver des partenaires aux SAS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8"/>
              </w:numPr>
              <w:pBdr/>
              <w:spacing w:after="0" w:before="0" w:line="240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Mise en place des partenariat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8"/>
              </w:numPr>
              <w:pBdr/>
              <w:spacing w:after="0" w:before="0" w:line="240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Bilan annuel</w:t>
            </w:r>
            <w:r>
              <w:rPr>
                <w:u w:val="none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DURÉE DE L’ACTION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ANNUELLE</w:t>
            </w:r>
            <w:r>
              <w:rPr>
                <w:rtl w:val="0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PLURIANNUELLE</w:t>
            </w:r>
            <w:r>
              <w:rPr>
                <w:rtl w:val="0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 w:after="0" w:before="0" w:line="240" w:lineRule="auto"/>
              <w:ind w:hanging="360" w:left="425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 DÉBUT:  ?        </w:t>
            </w:r>
            <w:r>
              <w:rPr>
                <w:sz w:val="24"/>
                <w:szCs w:val="24"/>
                <w:u w:val="none"/>
              </w:rPr>
            </w:r>
          </w:p>
          <w:p>
            <w:pPr>
              <w:pBdr/>
              <w:spacing w:after="0" w:before="0" w:line="240" w:lineRule="auto"/>
              <w:ind w:firstLine="0" w:left="566"/>
              <w:rPr/>
            </w:pPr>
            <w:r>
              <w:rPr>
                <w:sz w:val="24"/>
                <w:szCs w:val="24"/>
                <w:rtl w:val="0"/>
              </w:rPr>
              <w:t xml:space="preserve">FIN : Pas de in</w:t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406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PÉRIMÈTRE DE L’ACTION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Var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PUBLIC CIBLE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Services d’Appuis Spécifique du Var pour des médiateurs numériques</w:t>
            </w:r>
            <w:r/>
          </w:p>
        </w:tc>
      </w:tr>
      <w:tr>
        <w:trPr>
          <w:cantSplit w:val="false"/>
          <w:trHeight w:val="66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RÉSULTATS ATTENDUS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Réduction des coûts pour l’AGEFIPH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Financement de postes CoNum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Gain de temps pour les SAS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Satisfaction de l’usager (potentiellement plus de temps dévolu car moins cher)</w:t>
            </w:r>
            <w:r/>
          </w:p>
        </w:tc>
      </w:tr>
      <w:tr>
        <w:trPr>
          <w:cantSplit w:val="false"/>
          <w:trHeight w:val="570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MOYENS MOBILISÉS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</w:rPr>
            </w:pPr>
            <w:r>
              <w:rPr>
                <w:b/>
                <w:rtl w:val="0"/>
              </w:rPr>
              <w:t xml:space="preserve">HUMAINS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MATÉRIELS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FINANCIER</w:t>
            </w:r>
            <w:r>
              <w:rPr>
                <w:b/>
              </w:rPr>
            </w:r>
          </w:p>
        </w:tc>
      </w:tr>
      <w:tr>
        <w:trPr>
          <w:cantSplit w:val="false"/>
          <w:trHeight w:val="570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 w:firstLine="0" w:left="0"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les SAS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Temps de rédaction de l’AMI</w:t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RAS</w:t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RAS</w:t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INDICATEURS D’ÉVALUATION</w:t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Nombre de partenariat créé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Nombre de personnes accompagnées par des médiateurs numériques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Coût de ces actions de médiation numérique</w:t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RESSOURCES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ICOM Provence a déjà mis en place un partenariat dans les Bouches du Rhônes, s’appuyer dessus (obtenir la convention ?)</w:t>
            </w:r>
            <w:r/>
          </w:p>
        </w:tc>
      </w:tr>
      <w:tr>
        <w:trPr>
          <w:trHeight w:val="679"/>
        </w:trPr>
        <w:tc>
          <w:tcPr>
            <w:shd w:val="clear" w:color="ffffff" w:fill="ffffff"/>
            <w:tcBorders/>
            <w:tcW w:w="0" w:type="auto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  <w:sz w:val="24"/>
                <w:szCs w:val="24"/>
                <w:rtl w:val="0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PERSPECTIVES</w:t>
            </w:r>
            <w:r>
              <w:rPr>
                <w:b/>
                <w:sz w:val="24"/>
                <w:szCs w:val="24"/>
                <w:rtl w:val="0"/>
              </w:rPr>
            </w:r>
          </w:p>
        </w:tc>
        <w:tc>
          <w:tcPr>
            <w:gridSpan w:val="3"/>
            <w:shd w:val="clear" w:color="ffffff" w:fill="ffffff"/>
            <w:tcBorders/>
            <w:tcW w:w="0" w:type="auto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tl w:val="0"/>
              </w:rPr>
            </w:pPr>
            <w:r>
              <w:rPr>
                <w:rtl w:val="0"/>
              </w:rPr>
            </w:r>
            <w:r>
              <w:rPr>
                <w:rtl w:val="0"/>
              </w:rPr>
            </w:r>
          </w:p>
        </w:tc>
      </w:tr>
    </w:tbl>
    <w:p>
      <w:pPr>
        <w:pBdr/>
        <w:spacing w:after="200" w:before="0"/>
        <w:ind/>
        <w:rPr/>
      </w:pPr>
      <w:r>
        <w:rPr>
          <w:rtl w:val="0"/>
        </w:rPr>
      </w:r>
      <w:r/>
    </w:p>
    <w:sectPr>
      <w:footnotePr/>
      <w:endnotePr/>
      <w:type w:val="nextPage"/>
      <w:pgSz w:h="16838" w:orient="portrait" w:w="11906"/>
      <w:pgMar w:top="1474" w:right="1983" w:bottom="851" w:left="1418" w:header="0" w:footer="0" w:gutter="0"/>
      <w:pgNumType w:start="1"/>
      <w:cols w:num="1" w:sep="0" w:space="1701" w:equalWidth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Valentin BOUSSET" w:date="2025-10-08T16:53:09Z" w:initials="VB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Déjà en lien avec Madame SANIAL</w:t>
      </w:r>
    </w:p>
  </w:comment>
  <w:comment w:id="2" w:author="Valentin BOUSSET" w:date="2025-09-10T14:18:47Z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Est-ce que l'AGEFIPH s'interesse à cette question ?</w:t>
      </w:r>
    </w:p>
  </w:comment>
  <w:comment w:id="0" w:author="Valentin BOUSSET" w:date="2025-09-19T07:43:43Z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Je pense que celle là est à re-rédiger, je ne l'ai pas trop touchée car secondaire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86968C5" w16cex:dateUtc="2025-10-08T14:53:0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86968C5"/>
  <w16cid:commentId w16cid:paraId="00000002" w16cid:durableId="3F81CA39"/>
  <w16cid:commentId w16cid:paraId="00000003" w16cid:durableId="10F77D2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●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1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2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3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4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5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6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7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●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●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●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●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●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●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8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lentin BOUSSET">
    <w15:presenceInfo w15:providerId="Teamlab" w15:userId="resana.numerique.gouv.A1201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fr-FR" w:eastAsia="zh-CN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">
    <w:name w:val="Table Grid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4">
    <w:name w:val="Heading 7"/>
    <w:basedOn w:val="684"/>
    <w:next w:val="68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84"/>
    <w:next w:val="684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84"/>
    <w:next w:val="684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7" w:default="1">
    <w:name w:val="Default Paragraph Font"/>
    <w:uiPriority w:val="1"/>
    <w:semiHidden/>
    <w:unhideWhenUsed/>
    <w:pPr>
      <w:pBdr/>
      <w:spacing/>
      <w:ind/>
    </w:pPr>
  </w:style>
  <w:style w:type="numbering" w:styleId="148" w:default="1">
    <w:name w:val="No List"/>
    <w:uiPriority w:val="99"/>
    <w:semiHidden/>
    <w:unhideWhenUsed/>
    <w:pPr>
      <w:pBdr/>
      <w:spacing/>
      <w:ind/>
    </w:pPr>
  </w:style>
  <w:style w:type="character" w:styleId="149">
    <w:name w:val="Heading 1 Char"/>
    <w:basedOn w:val="147"/>
    <w:link w:val="6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147"/>
    <w:link w:val="6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147"/>
    <w:link w:val="6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147"/>
    <w:link w:val="6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147"/>
    <w:link w:val="68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147"/>
    <w:link w:val="69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147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147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14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9">
    <w:name w:val="Title Char"/>
    <w:basedOn w:val="147"/>
    <w:link w:val="69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1">
    <w:name w:val="Subtitle Char"/>
    <w:basedOn w:val="147"/>
    <w:link w:val="69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84"/>
    <w:next w:val="684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147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4">
    <w:name w:val="List Paragraph"/>
    <w:basedOn w:val="684"/>
    <w:uiPriority w:val="34"/>
    <w:qFormat/>
    <w:pPr>
      <w:pBdr/>
      <w:spacing/>
      <w:ind w:left="720"/>
      <w:contextualSpacing w:val="true"/>
    </w:pPr>
  </w:style>
  <w:style w:type="character" w:styleId="165">
    <w:name w:val="Intense Emphasis"/>
    <w:basedOn w:val="1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84"/>
    <w:next w:val="684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147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1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84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1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147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147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1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1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84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147"/>
    <w:link w:val="175"/>
    <w:uiPriority w:val="99"/>
    <w:pPr>
      <w:pBdr/>
      <w:spacing/>
      <w:ind/>
    </w:pPr>
  </w:style>
  <w:style w:type="paragraph" w:styleId="177">
    <w:name w:val="Footer"/>
    <w:basedOn w:val="684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147"/>
    <w:link w:val="177"/>
    <w:uiPriority w:val="99"/>
    <w:pPr>
      <w:pBdr/>
      <w:spacing/>
      <w:ind/>
    </w:pPr>
  </w:style>
  <w:style w:type="paragraph" w:styleId="179">
    <w:name w:val="Caption"/>
    <w:basedOn w:val="684"/>
    <w:next w:val="6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84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147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84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147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1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1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84"/>
    <w:next w:val="684"/>
    <w:uiPriority w:val="39"/>
    <w:unhideWhenUsed/>
    <w:pPr>
      <w:pBdr/>
      <w:spacing w:after="100"/>
      <w:ind/>
    </w:pPr>
  </w:style>
  <w:style w:type="paragraph" w:styleId="189">
    <w:name w:val="toc 2"/>
    <w:basedOn w:val="684"/>
    <w:next w:val="684"/>
    <w:uiPriority w:val="39"/>
    <w:unhideWhenUsed/>
    <w:pPr>
      <w:pBdr/>
      <w:spacing w:after="100"/>
      <w:ind w:left="220"/>
    </w:pPr>
  </w:style>
  <w:style w:type="paragraph" w:styleId="190">
    <w:name w:val="toc 3"/>
    <w:basedOn w:val="684"/>
    <w:next w:val="684"/>
    <w:uiPriority w:val="39"/>
    <w:unhideWhenUsed/>
    <w:pPr>
      <w:pBdr/>
      <w:spacing w:after="100"/>
      <w:ind w:left="440"/>
    </w:pPr>
  </w:style>
  <w:style w:type="paragraph" w:styleId="191">
    <w:name w:val="toc 4"/>
    <w:basedOn w:val="684"/>
    <w:next w:val="684"/>
    <w:uiPriority w:val="39"/>
    <w:unhideWhenUsed/>
    <w:pPr>
      <w:pBdr/>
      <w:spacing w:after="100"/>
      <w:ind w:left="660"/>
    </w:pPr>
  </w:style>
  <w:style w:type="paragraph" w:styleId="192">
    <w:name w:val="toc 5"/>
    <w:basedOn w:val="684"/>
    <w:next w:val="684"/>
    <w:uiPriority w:val="39"/>
    <w:unhideWhenUsed/>
    <w:pPr>
      <w:pBdr/>
      <w:spacing w:after="100"/>
      <w:ind w:left="880"/>
    </w:pPr>
  </w:style>
  <w:style w:type="paragraph" w:styleId="193">
    <w:name w:val="toc 6"/>
    <w:basedOn w:val="684"/>
    <w:next w:val="684"/>
    <w:uiPriority w:val="39"/>
    <w:unhideWhenUsed/>
    <w:pPr>
      <w:pBdr/>
      <w:spacing w:after="100"/>
      <w:ind w:left="1100"/>
    </w:pPr>
  </w:style>
  <w:style w:type="paragraph" w:styleId="194">
    <w:name w:val="toc 7"/>
    <w:basedOn w:val="684"/>
    <w:next w:val="684"/>
    <w:uiPriority w:val="39"/>
    <w:unhideWhenUsed/>
    <w:pPr>
      <w:pBdr/>
      <w:spacing w:after="100"/>
      <w:ind w:left="1320"/>
    </w:pPr>
  </w:style>
  <w:style w:type="paragraph" w:styleId="195">
    <w:name w:val="toc 8"/>
    <w:basedOn w:val="684"/>
    <w:next w:val="684"/>
    <w:uiPriority w:val="39"/>
    <w:unhideWhenUsed/>
    <w:pPr>
      <w:pBdr/>
      <w:spacing w:after="100"/>
      <w:ind w:left="1540"/>
    </w:pPr>
  </w:style>
  <w:style w:type="paragraph" w:styleId="196">
    <w:name w:val="toc 9"/>
    <w:basedOn w:val="684"/>
    <w:next w:val="684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684"/>
    <w:next w:val="684"/>
    <w:uiPriority w:val="99"/>
    <w:unhideWhenUsed/>
    <w:pPr>
      <w:pBdr/>
      <w:spacing w:after="0" w:afterAutospacing="0"/>
      <w:ind/>
    </w:pPr>
  </w:style>
  <w:style w:type="table" w:styleId="683">
    <w:name w:val="TableNormal"/>
    <w:pPr>
      <w:pBdr/>
      <w:spacing/>
      <w:ind/>
    </w:pPr>
    <w:tblPr>
      <w:tblBorders/>
      <w:tblCellMar>
        <w:left w:w="100" w:type="dxa"/>
        <w:top w:w="100" w:type="dxa"/>
        <w:right w:w="100" w:type="dxa"/>
        <w:bottom w:w="10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84" w:default="1">
    <w:name w:val="Normal"/>
    <w:pPr>
      <w:pBdr/>
      <w:spacing/>
      <w:ind/>
    </w:pPr>
  </w:style>
  <w:style w:type="paragraph" w:styleId="685">
    <w:name w:val="Heading 1"/>
    <w:basedOn w:val="684"/>
    <w:next w:val="684"/>
    <w:pPr>
      <w:keepNext w:val="true"/>
      <w:keepLines w:val="true"/>
      <w:pageBreakBefore w:val="false"/>
      <w:pBdr/>
      <w:spacing w:after="120" w:before="480"/>
      <w:ind/>
    </w:pPr>
    <w:rPr>
      <w:b/>
      <w:sz w:val="48"/>
      <w:szCs w:val="48"/>
    </w:rPr>
  </w:style>
  <w:style w:type="paragraph" w:styleId="686">
    <w:name w:val="Heading 2"/>
    <w:basedOn w:val="684"/>
    <w:next w:val="684"/>
    <w:pPr>
      <w:keepNext w:val="true"/>
      <w:keepLines w:val="true"/>
      <w:pageBreakBefore w:val="false"/>
      <w:pBdr/>
      <w:spacing w:after="80" w:before="360"/>
      <w:ind/>
    </w:pPr>
    <w:rPr>
      <w:b/>
      <w:sz w:val="36"/>
      <w:szCs w:val="36"/>
    </w:rPr>
  </w:style>
  <w:style w:type="paragraph" w:styleId="687">
    <w:name w:val="Heading 3"/>
    <w:basedOn w:val="684"/>
    <w:next w:val="684"/>
    <w:pPr>
      <w:keepNext w:val="true"/>
      <w:keepLines w:val="true"/>
      <w:pageBreakBefore w:val="false"/>
      <w:pBdr/>
      <w:spacing w:after="80" w:before="280"/>
      <w:ind/>
    </w:pPr>
    <w:rPr>
      <w:b/>
      <w:sz w:val="28"/>
      <w:szCs w:val="28"/>
    </w:rPr>
  </w:style>
  <w:style w:type="paragraph" w:styleId="688">
    <w:name w:val="Heading 4"/>
    <w:basedOn w:val="684"/>
    <w:next w:val="684"/>
    <w:pPr>
      <w:keepNext w:val="true"/>
      <w:keepLines w:val="true"/>
      <w:pageBreakBefore w:val="false"/>
      <w:pBdr/>
      <w:spacing w:after="40" w:before="240"/>
      <w:ind/>
    </w:pPr>
    <w:rPr>
      <w:b/>
      <w:sz w:val="24"/>
      <w:szCs w:val="24"/>
    </w:rPr>
  </w:style>
  <w:style w:type="paragraph" w:styleId="689">
    <w:name w:val="Heading 5"/>
    <w:basedOn w:val="684"/>
    <w:next w:val="684"/>
    <w:pPr>
      <w:keepNext w:val="true"/>
      <w:keepLines w:val="true"/>
      <w:pageBreakBefore w:val="false"/>
      <w:pBdr/>
      <w:spacing w:after="40" w:before="220"/>
      <w:ind/>
    </w:pPr>
    <w:rPr>
      <w:b/>
      <w:sz w:val="22"/>
      <w:szCs w:val="22"/>
    </w:rPr>
  </w:style>
  <w:style w:type="paragraph" w:styleId="690">
    <w:name w:val="Heading 6"/>
    <w:basedOn w:val="684"/>
    <w:next w:val="684"/>
    <w:pPr>
      <w:keepNext w:val="true"/>
      <w:keepLines w:val="true"/>
      <w:pageBreakBefore w:val="false"/>
      <w:pBdr/>
      <w:spacing w:after="40" w:before="200"/>
      <w:ind/>
    </w:pPr>
    <w:rPr>
      <w:b/>
      <w:sz w:val="20"/>
      <w:szCs w:val="20"/>
    </w:rPr>
  </w:style>
  <w:style w:type="paragraph" w:styleId="691">
    <w:name w:val="Title"/>
    <w:basedOn w:val="684"/>
    <w:next w:val="684"/>
    <w:pPr>
      <w:keepNext w:val="true"/>
      <w:keepLines w:val="true"/>
      <w:pageBreakBefore w:val="false"/>
      <w:pBdr/>
      <w:spacing w:after="120" w:before="480"/>
      <w:ind/>
    </w:pPr>
    <w:rPr>
      <w:b/>
      <w:sz w:val="72"/>
      <w:szCs w:val="72"/>
    </w:rPr>
  </w:style>
  <w:style w:type="paragraph" w:styleId="692">
    <w:name w:val="Subtitle"/>
    <w:basedOn w:val="684"/>
    <w:next w:val="684"/>
    <w:pPr>
      <w:keepNext w:val="true"/>
      <w:keepLines w:val="true"/>
      <w:pageBreakBefore w:val="false"/>
      <w:pBdr/>
      <w:spacing w:after="80" w:before="360"/>
      <w:ind/>
    </w:pPr>
    <w:rPr>
      <w:rFonts w:ascii="Georgia" w:hAnsi="Georgia" w:eastAsia="Georgia" w:cs="Georgia"/>
      <w:i/>
      <w:color w:val="666666"/>
      <w:sz w:val="48"/>
      <w:szCs w:val="48"/>
    </w:rPr>
  </w:style>
  <w:style w:type="table" w:styleId="693">
    <w:name w:val="StGen0"/>
    <w:basedOn w:val="683"/>
    <w:pPr>
      <w:pBdr/>
      <w:spacing w:after="0" w:line="240" w:lineRule="auto"/>
      <w:ind/>
    </w:pPr>
    <w:tblPr>
      <w:tblStyleRowBandSize w:val="1"/>
      <w:tblStyleColBandSize w:val="1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jpg"/><Relationship Id="rId11" Type="http://schemas.openxmlformats.org/officeDocument/2006/relationships/image" Target="media/image3.jpg"/><Relationship Id="rId12" Type="http://schemas.openxmlformats.org/officeDocument/2006/relationships/comments" Target="comments.xml" /><Relationship Id="rId13" Type="http://schemas.microsoft.com/office/2011/relationships/commentsExtended" Target="commentsExtended.xml" /><Relationship Id="rId14" Type="http://schemas.microsoft.com/office/2018/08/relationships/commentsExtensible" Target="commentsExtensible.xml" /><Relationship Id="rId15" Type="http://schemas.microsoft.com/office/2016/09/relationships/commentsIds" Target="commentsIds.xml" /><Relationship Id="rId16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onlyoffice/8.3.3.18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lpwstr>false</vt:lpwstr>
  </property>
  <property fmtid="{D5CDD505-2E9C-101B-9397-08002B2CF9AE}" pid="3" name="LinksUpToDate">
    <vt:lpwstr>false</vt:lpwstr>
  </property>
  <property fmtid="{D5CDD505-2E9C-101B-9397-08002B2CF9AE}" pid="4" name="ScaleCrop">
    <vt:lpwstr>false</vt:lpwstr>
  </property>
  <property fmtid="{D5CDD505-2E9C-101B-9397-08002B2CF9AE}" pid="5" name="ShareDoc">
    <vt:lpwstr>false</vt:lpwstr>
  </property>
</Properties>
</file>